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5"/>
        <w:rPr>
          <w:rFonts w:ascii="Times New Roman" w:cs="Times New Roman" w:hAnsi="Times New Roman"/>
          <w:bCs/>
          <w:sz w:val="28"/>
          <w:szCs w:val="28"/>
          <w:lang w:val="uk-UA"/>
        </w:rPr>
      </w:pPr>
      <w:bookmarkStart w:id="0" w:name="n11"/>
      <w:bookmarkEnd w:id="0"/>
      <w:r>
        <w:rPr>
          <w:rFonts w:ascii="Times New Roman" w:cs="Times New Roman" w:hAnsi="Times New Roman"/>
          <w:bCs/>
          <w:sz w:val="28"/>
          <w:szCs w:val="28"/>
          <w:lang w:val="uk-UA"/>
        </w:rPr>
        <w:t>Первинно зареєстровано:                               ЗАТВЕРДЖЕНО</w:t>
      </w:r>
    </w:p>
    <w:p>
      <w:pPr>
        <w:pStyle w:val="style25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Виконавчим комітетом                                   Рішення  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32 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>сесії</w:t>
      </w:r>
    </w:p>
    <w:p>
      <w:pPr>
        <w:pStyle w:val="style25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Мелітопольської міської ради                        Мелітопольської міської ради</w:t>
      </w:r>
    </w:p>
    <w:p>
      <w:pPr>
        <w:pStyle w:val="style25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рішення  від 28.03.2002   № 40                       Запорізької області</w:t>
      </w:r>
    </w:p>
    <w:p>
      <w:pPr>
        <w:pStyle w:val="style25"/>
        <w:tabs>
          <w:tab w:leader="none" w:pos="5880" w:val="left"/>
        </w:tabs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VII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 скликання</w:t>
      </w:r>
    </w:p>
    <w:p>
      <w:pPr>
        <w:pStyle w:val="style25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244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ab/>
        <w:tab/>
        <w:tab/>
        <w:tab/>
        <w:tab/>
        <w:tab/>
        <w:t xml:space="preserve"> від 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>26.06.2017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           №  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>11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               </w:t>
      </w:r>
    </w:p>
    <w:p>
      <w:pPr>
        <w:pStyle w:val="style25"/>
        <w:ind w:hanging="0" w:left="4580" w:right="0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           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>Мелітопольський міський голова</w:t>
      </w:r>
    </w:p>
    <w:p>
      <w:pPr>
        <w:pStyle w:val="style25"/>
        <w:ind w:hanging="0" w:left="4580" w:right="0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           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>__________ С.А. Мінько</w:t>
      </w:r>
    </w:p>
    <w:p>
      <w:pPr>
        <w:pStyle w:val="style25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5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5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5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5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5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5"/>
        <w:jc w:val="center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ПОЛОЖЕННЯ</w:t>
      </w:r>
    </w:p>
    <w:p>
      <w:pPr>
        <w:pStyle w:val="style25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ПРО МЕЛІТОПОЛЬСЬКИЙ МІСЬКИЙ ЦЕНТР СОЦІАЛЬНИХ СЛУЖБ ДЛЯ СІМ</w:t>
      </w:r>
      <w:r>
        <w:rPr>
          <w:rFonts w:ascii="Times New Roman" w:cs="Times New Roman" w:hAnsi="Times New Roman"/>
          <w:bCs/>
          <w:sz w:val="28"/>
          <w:szCs w:val="28"/>
        </w:rPr>
        <w:t>`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>Ї,  ДІТЕЙ ТА МОЛОДІ</w:t>
      </w:r>
    </w:p>
    <w:p>
      <w:pPr>
        <w:pStyle w:val="style25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(нова редакція)</w:t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bookmarkStart w:id="1" w:name="21"/>
      <w:bookmarkStart w:id="2" w:name="20"/>
      <w:bookmarkStart w:id="3" w:name="21"/>
      <w:bookmarkStart w:id="4" w:name="20"/>
      <w:bookmarkEnd w:id="3"/>
      <w:bookmarkEnd w:id="4"/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5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5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26"/>
        <w:jc w:val="center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</w:r>
    </w:p>
    <w:p>
      <w:pPr>
        <w:pStyle w:val="style26"/>
        <w:jc w:val="center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</w:r>
    </w:p>
    <w:p>
      <w:pPr>
        <w:pStyle w:val="style26"/>
        <w:jc w:val="center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  <w:t>м. Мелітополь</w:t>
      </w:r>
    </w:p>
    <w:p>
      <w:pPr>
        <w:pStyle w:val="style26"/>
        <w:jc w:val="center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  <w:t>201</w:t>
      </w:r>
      <w:bookmarkStart w:id="5" w:name="_GoBack"/>
      <w:bookmarkEnd w:id="5"/>
      <w:r>
        <w:rPr>
          <w:rFonts w:ascii="Times New Roman" w:hAnsi="Times New Roman"/>
          <w:sz w:val="28"/>
          <w:szCs w:val="28"/>
          <w:lang w:eastAsia="ru-RU" w:val="uk-UA"/>
        </w:rPr>
        <w:t>7 рік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6" w:name="n12"/>
      <w:bookmarkEnd w:id="6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1. Мелітопольський міський центр соціальних служб для сім’ї, дітей та молоді  (далі - Центр)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7" w:name="n112"/>
      <w:bookmarkStart w:id="8" w:name="n13"/>
      <w:bookmarkEnd w:id="7"/>
      <w:bookmarkEnd w:id="8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2. Центр утворюється, реорганізується та ліквідується Мелітопольською міською радою Запорізької області.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Центр є підзвітним і підконтрольним Мелітопольській міській раді Запорізької області, підпорядкованим її виконавчому комітету та Мелітопольському міському голові.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9" w:name="n14"/>
      <w:bookmarkStart w:id="10" w:name="n111"/>
      <w:bookmarkEnd w:id="9"/>
      <w:bookmarkEnd w:id="10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Діяльність Центру спрямовується управлінням соціального захисту населення Мелітопольської міської ради Запорізької області.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n114"/>
      <w:bookmarkEnd w:id="11"/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-1</w:t>
      </w:r>
      <w:r>
        <w:rPr>
          <w:rFonts w:ascii="Times New Roman" w:hAnsi="Times New Roman"/>
          <w:sz w:val="28"/>
          <w:szCs w:val="28"/>
          <w:lang w:eastAsia="ru-RU"/>
        </w:rPr>
        <w:t>. Положення</w:t>
      </w:r>
      <w:r>
        <w:rPr>
          <w:rFonts w:ascii="Times New Roman" w:hAnsi="Times New Roman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 центр</w:t>
      </w:r>
      <w:r>
        <w:rPr>
          <w:rFonts w:ascii="Times New Roman" w:hAnsi="Times New Roman"/>
          <w:sz w:val="28"/>
          <w:szCs w:val="28"/>
          <w:lang w:eastAsia="ru-RU" w:val="uk-UA"/>
        </w:rPr>
        <w:t xml:space="preserve"> та </w:t>
      </w:r>
      <w:r>
        <w:rPr>
          <w:rFonts w:ascii="Times New Roman" w:hAnsi="Times New Roman"/>
          <w:sz w:val="28"/>
          <w:szCs w:val="28"/>
          <w:lang w:eastAsia="ru-RU"/>
        </w:rPr>
        <w:t>фонд оплати</w:t>
      </w:r>
      <w:r>
        <w:rPr>
          <w:rFonts w:ascii="Times New Roman" w:hAnsi="Times New Roman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праці</w:t>
      </w:r>
      <w:r>
        <w:rPr>
          <w:rFonts w:ascii="Times New Roman" w:hAnsi="Times New Roman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працівників</w:t>
      </w:r>
      <w:r>
        <w:rPr>
          <w:rFonts w:ascii="Times New Roman" w:hAnsi="Times New Roman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затверджується</w:t>
      </w:r>
      <w:r>
        <w:rPr>
          <w:rFonts w:ascii="Times New Roman" w:hAnsi="Times New Roman"/>
          <w:sz w:val="28"/>
          <w:szCs w:val="28"/>
          <w:lang w:eastAsia="ru-RU" w:val="uk-UA"/>
        </w:rPr>
        <w:t xml:space="preserve"> Мелітопольською міською радою Запорізької області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style26"/>
        <w:ind w:firstLine="708" w:left="0" w:right="0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  <w:t xml:space="preserve">3. Юридична адреса:  72313, Україна, </w:t>
      </w:r>
    </w:p>
    <w:p>
      <w:pPr>
        <w:pStyle w:val="style26"/>
        <w:ind w:firstLine="708" w:left="1416" w:right="0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  <w:t xml:space="preserve">Запорізька область, </w:t>
      </w:r>
    </w:p>
    <w:p>
      <w:pPr>
        <w:pStyle w:val="style26"/>
        <w:ind w:firstLine="708" w:left="1416" w:right="0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  <w:t>місто Мелітополь,</w:t>
      </w:r>
    </w:p>
    <w:p>
      <w:pPr>
        <w:pStyle w:val="style26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  <w:tab/>
        <w:tab/>
        <w:tab/>
        <w:t>вул. Осипенко, будинок 96</w:t>
      </w:r>
    </w:p>
    <w:p>
      <w:pPr>
        <w:pStyle w:val="style26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</w:r>
    </w:p>
    <w:p>
      <w:pPr>
        <w:pStyle w:val="style26"/>
        <w:ind w:firstLine="708" w:left="0" w:right="0"/>
        <w:jc w:val="both"/>
        <w:rPr>
          <w:rFonts w:ascii="Times New Roman" w:hAnsi="Times New Roman"/>
          <w:sz w:val="28"/>
          <w:szCs w:val="28"/>
          <w:lang w:eastAsia="ru-RU" w:val="uk-UA"/>
        </w:rPr>
      </w:pPr>
      <w:r>
        <w:rPr>
          <w:rFonts w:ascii="Times New Roman" w:hAnsi="Times New Roman"/>
          <w:sz w:val="28"/>
          <w:szCs w:val="28"/>
          <w:lang w:eastAsia="ru-RU" w:val="uk-UA"/>
        </w:rPr>
        <w:t xml:space="preserve">4.Здійснення  організаційно-правового,  методичного та інформаційного забезпечення діяльності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hAnsi="Times New Roman"/>
          <w:sz w:val="28"/>
          <w:szCs w:val="28"/>
          <w:lang w:eastAsia="ru-RU" w:val="uk-UA"/>
        </w:rPr>
        <w:t xml:space="preserve">  здійснює регіональний центр соціальних служб для сім’ї, дітей та молоді.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" w:name="n15"/>
      <w:bookmarkStart w:id="13" w:name="n113"/>
      <w:bookmarkEnd w:id="12"/>
      <w:bookmarkEnd w:id="13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Центр у своїй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керується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fldChar w:fldCharType="begin"/>
      </w:r>
      <w:r>
        <w:instrText> HYPERLINK "http://zakon4.rada.gov.ua/laws/show/254к/96-вр/paran1654" \l "n1654"</w:instrText>
      </w:r>
      <w:r>
        <w:fldChar w:fldCharType="separate"/>
      </w:r>
      <w:r>
        <w:rPr>
          <w:rStyle w:val="style19"/>
          <w:rFonts w:ascii="Times New Roman" w:hAnsi="Times New Roman"/>
          <w:color w:val="000000"/>
          <w:sz w:val="28"/>
          <w:szCs w:val="28"/>
          <w:lang w:eastAsia="ru-RU"/>
        </w:rPr>
        <w:t>Конституцією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законами України, актами Президента України і Кабінету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Міністрів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України, наказами Мінсоцполітики, іншими нормативно-правовими актами з питань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сім’ї, дітей та молоді,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розпорядженнями міського голови, наказами регіонального центру соціальних служб для сім’ї, дітей та молоді, а також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цим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оложенням.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n16"/>
      <w:bookmarkEnd w:id="14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Основними принципами діяльності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є: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" w:name="n17"/>
      <w:bookmarkEnd w:id="15"/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законність;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" w:name="n18"/>
      <w:bookmarkEnd w:id="16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соціальна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справедливість;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" w:name="n20"/>
      <w:bookmarkStart w:id="18" w:name="n19"/>
      <w:bookmarkEnd w:id="17"/>
      <w:bookmarkEnd w:id="18"/>
      <w:r>
        <w:rPr>
          <w:rFonts w:ascii="Times New Roman" w:hAnsi="Times New Roman"/>
          <w:color w:val="000000"/>
          <w:sz w:val="28"/>
          <w:szCs w:val="28"/>
          <w:lang w:eastAsia="ru-RU"/>
        </w:rPr>
        <w:t>доступність та відкритість;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" w:name="n21"/>
      <w:bookmarkEnd w:id="19"/>
      <w:r>
        <w:rPr>
          <w:rFonts w:ascii="Times New Roman" w:hAnsi="Times New Roman"/>
          <w:color w:val="000000"/>
          <w:sz w:val="28"/>
          <w:szCs w:val="28"/>
          <w:lang w:eastAsia="ru-RU"/>
        </w:rPr>
        <w:t>конфіденційність та відповідальність за дотримання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етичних і правових норм;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n22"/>
      <w:bookmarkEnd w:id="20"/>
      <w:r>
        <w:rPr>
          <w:rFonts w:ascii="Times New Roman" w:hAnsi="Times New Roman"/>
          <w:color w:val="000000"/>
          <w:sz w:val="28"/>
          <w:szCs w:val="28"/>
          <w:lang w:eastAsia="ru-RU"/>
        </w:rPr>
        <w:t>додержання і захист прав людини;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1" w:name="n23"/>
      <w:bookmarkEnd w:id="21"/>
      <w:r>
        <w:rPr>
          <w:rFonts w:ascii="Times New Roman" w:hAnsi="Times New Roman"/>
          <w:color w:val="000000"/>
          <w:sz w:val="28"/>
          <w:szCs w:val="28"/>
          <w:lang w:eastAsia="ru-RU"/>
        </w:rPr>
        <w:t>адресність та індивідуальний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підхід;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2" w:name="n24"/>
      <w:bookmarkEnd w:id="22"/>
      <w:r>
        <w:rPr>
          <w:rFonts w:ascii="Times New Roman" w:hAnsi="Times New Roman"/>
          <w:color w:val="000000"/>
          <w:sz w:val="28"/>
          <w:szCs w:val="28"/>
          <w:lang w:eastAsia="ru-RU"/>
        </w:rPr>
        <w:t>добровільність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вибору в отриманні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відмові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отримання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послуг;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3" w:name="n25"/>
      <w:bookmarkEnd w:id="23"/>
      <w:r>
        <w:rPr>
          <w:rFonts w:ascii="Times New Roman" w:hAnsi="Times New Roman"/>
          <w:color w:val="000000"/>
          <w:sz w:val="28"/>
          <w:szCs w:val="28"/>
          <w:lang w:eastAsia="ru-RU"/>
        </w:rPr>
        <w:t>комплексність та системність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під час надання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послуг;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4" w:name="n26"/>
      <w:bookmarkEnd w:id="24"/>
      <w:r>
        <w:rPr>
          <w:rFonts w:ascii="Times New Roman" w:hAnsi="Times New Roman"/>
          <w:color w:val="000000"/>
          <w:sz w:val="28"/>
          <w:szCs w:val="28"/>
          <w:lang w:eastAsia="ru-RU"/>
        </w:rPr>
        <w:t>дотримання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державних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стандартів і нормативів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послуг;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n27"/>
      <w:bookmarkEnd w:id="25"/>
      <w:r>
        <w:rPr>
          <w:rFonts w:ascii="Times New Roman" w:hAnsi="Times New Roman"/>
          <w:color w:val="000000"/>
          <w:sz w:val="28"/>
          <w:szCs w:val="28"/>
          <w:lang w:eastAsia="ru-RU"/>
        </w:rPr>
        <w:t>максимальна ефективність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бюджетних та позабюджетних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коштів.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6" w:name="n34"/>
      <w:bookmarkStart w:id="27" w:name="n28"/>
      <w:bookmarkEnd w:id="26"/>
      <w:bookmarkEnd w:id="27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Основними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завданнями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є: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" w:name="n126"/>
      <w:bookmarkEnd w:id="28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соціально-профілактичної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роботи, спрямованої на запобігання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потраплянню в складні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життєві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обставини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сімей, дітей та молоді;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9" w:name="n127"/>
      <w:bookmarkEnd w:id="29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виявлення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сімей, дітей та молоді, які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перебувають у складних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життєвих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обставинах і потребують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сторонньої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допомоги;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0" w:name="n128"/>
      <w:bookmarkEnd w:id="30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здійснення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супроводу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сімей, дітей та молоді, які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перебувають у складних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життєвих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обставинах і потребують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сторонньої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допомоги, надання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їм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послуг за результатами проведеної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оцінки потреб їх у таких послугах;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31" w:name="n129"/>
      <w:bookmarkEnd w:id="31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 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 молоддю.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2" w:name="n49"/>
      <w:bookmarkStart w:id="33" w:name="n40"/>
      <w:bookmarkStart w:id="34" w:name="n125"/>
      <w:bookmarkEnd w:id="32"/>
      <w:bookmarkEnd w:id="33"/>
      <w:bookmarkEnd w:id="34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Центр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покладених на нього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завдань: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5" w:name="n132"/>
      <w:bookmarkEnd w:id="35"/>
      <w:r>
        <w:rPr>
          <w:rFonts w:ascii="Times New Roman" w:hAnsi="Times New Roman"/>
          <w:color w:val="000000"/>
          <w:sz w:val="28"/>
          <w:szCs w:val="28"/>
          <w:lang w:eastAsia="ru-RU"/>
        </w:rPr>
        <w:t>1) здійснює заходи щодо: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" w:name="n133"/>
      <w:bookmarkEnd w:id="36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виявлення та обліку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сімей, дітей та молоді, які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перебувають у складних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життєвих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обставинах і потребують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сторонньої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допомоги;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7" w:name="n134"/>
      <w:bookmarkEnd w:id="37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та/або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психологічної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підтримки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учасників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антитерористичної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операції та внутрішньопереміщених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осіб, організації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їм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допомоги з урахуванням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визначених потреб;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8" w:name="n135"/>
      <w:bookmarkEnd w:id="38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та психологічної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адаптації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дітей-сиріт і дітей, позбавлених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батьківського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піклування, осіб з їх числа з метою підготовки до самостійного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життя;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9" w:name="n136"/>
      <w:bookmarkEnd w:id="39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супроводження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прийомних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сімей та дитячих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будинків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сімейного типу;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0" w:name="n137"/>
      <w:bookmarkEnd w:id="40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інформування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населення про соціальні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послуги, які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надаються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законодавства;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41" w:name="n138"/>
      <w:bookmarkEnd w:id="41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 визначає види соціальних послуг та методи соціальної роботи;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42" w:name="n139"/>
      <w:bookmarkEnd w:id="42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3) надає соціальні послуги сім’ям, дітям та молоді, які перебувають у складних життєвих обставинах і потребують сторонньої допомоги, у тому числі особам, які постраждали від насильства в сім’ї та торгівлі людьми та у разі потреби здійснює їх соціальний супровід;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3" w:name="n140"/>
      <w:bookmarkEnd w:id="43"/>
      <w:r>
        <w:rPr>
          <w:rFonts w:ascii="Times New Roman" w:hAnsi="Times New Roman"/>
          <w:color w:val="000000"/>
          <w:sz w:val="28"/>
          <w:szCs w:val="28"/>
          <w:lang w:eastAsia="ru-RU"/>
        </w:rPr>
        <w:t>4) за повідомленням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установ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покарань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здійснює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соціальний патронаж осіб, які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відбували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покарання у вигляді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обмеження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позбавлення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волі на певний строк;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44" w:name="n141"/>
      <w:bookmarkEnd w:id="44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5) впроваджує нові соціальні технології, спрямовані на недопущення, мінімізацію чи подолання складних життєвих обставин;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45" w:name="n142"/>
      <w:bookmarkEnd w:id="45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6) узагальнює на місцевому рівні статистичні дані та готує інформаційно-аналітичні матеріали стосовно проведеної соціальної роботи, які подає регіональному центру та відповідному місцевому органу виконавчої влади.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46" w:name="n73"/>
      <w:bookmarkStart w:id="47" w:name="n131"/>
      <w:bookmarkEnd w:id="46"/>
      <w:bookmarkEnd w:id="47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9. Центр має право: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48" w:name="n74"/>
      <w:bookmarkEnd w:id="48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 вносити Мінсоцполітики, місцевим органам виконавчої влади та органам місцевого самоврядування пропозиції щодо вдосконалення соціальної роботи з сім’ями, дітьми та молоддю;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9" w:name="n75"/>
      <w:bookmarkEnd w:id="49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подавати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пропозиції до проектів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місцевих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бюджетів з питань, що належать до їх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компетенції;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0" w:name="n76"/>
      <w:bookmarkEnd w:id="50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укладати в установленому порядку договори з підприємствами, установами та організаціями (в тому числі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іноземними) щодо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робіт, спрямованих на виконання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покладених на нього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завдань;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51" w:name="n77"/>
      <w:bookmarkEnd w:id="51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 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2" w:name="n78"/>
      <w:bookmarkEnd w:id="52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вживати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заходів для забезпечення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захисту прав, свобод і законних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інтересів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сімей, дітей та молоді;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53" w:name="n79"/>
      <w:bookmarkEnd w:id="53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 здійснювати посередництво у представництві інтересів сімей, дітей та молоді та порушувати клопотання про притягнення до відповідальності посадових осіб, винних у порушенні вимог законодавства з питань проведення соціальної роботи з сім’ями, дітьми та молоддю.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4" w:name="n80"/>
      <w:bookmarkEnd w:id="54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Центр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очолює директор, який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призначається на посаду і звільняється з посади в установленому порядку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міським головою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5" w:name="n82"/>
      <w:bookmarkStart w:id="56" w:name="n81"/>
      <w:bookmarkEnd w:id="55"/>
      <w:bookmarkEnd w:id="56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Центру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призначається на посаду і звільняється з посади за погодженням з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Запорізьким обласним центром соціальних служб для сім’ї, дітей та молоді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7" w:name="n83"/>
      <w:bookmarkStart w:id="58" w:name="n143"/>
      <w:bookmarkEnd w:id="57"/>
      <w:bookmarkEnd w:id="58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Директор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9" w:name="n84"/>
      <w:bookmarkEnd w:id="59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здійснює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загальне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керівництво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діяльністю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несе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персональну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відповідальність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 виконання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покладених на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Центр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завдань, законність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прийнятих ним рішень;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0" w:name="n85"/>
      <w:bookmarkEnd w:id="60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складає в установленому порядку штатний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розпис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межах граничної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чисельност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працівників та фонду оплати праці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типової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структури і штатів, що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затверджуються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Мінсоцполітики;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1" w:name="n86"/>
      <w:bookmarkStart w:id="62" w:name="n144"/>
      <w:bookmarkEnd w:id="61"/>
      <w:bookmarkEnd w:id="62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затверджує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положення про структурні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підрозділи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посадові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інструкції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працівників;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3" w:name="n87"/>
      <w:bookmarkEnd w:id="63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видає в межах своїх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повноважень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накази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організаційно-розпорядчого характеру, організовує і контролює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їх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виконання;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4" w:name="n88"/>
      <w:bookmarkEnd w:id="64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представляє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відносинах з органами державної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влади, органами влади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Автономної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Республіки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Крим, органами місцевого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самоврядування, підприємствами, установами та організаціями;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5" w:name="n89"/>
      <w:bookmarkEnd w:id="65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проводить особистий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прийом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громадян з питань, що належать до компетенції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6" w:name="n90"/>
      <w:bookmarkEnd w:id="66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ab/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розпоряджається в установленому порядку майном і коштами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67" w:name="n91"/>
      <w:bookmarkEnd w:id="67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ab/>
        <w:t>-утворює в Центрі атестаційну комісію, сприяє підвищенню кваліфікації працівників центру;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8" w:name="n92"/>
      <w:bookmarkEnd w:id="68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призначає на посаду та звільняє з посади працівників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 w:val="uk-UA"/>
        </w:rPr>
      </w:pPr>
      <w:bookmarkStart w:id="69" w:name="n93"/>
      <w:bookmarkEnd w:id="69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-приймає рішення щодо заохочення та притягнення до дисциплінарної відповідальності працівників Центру.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0" w:name="n94"/>
      <w:bookmarkEnd w:id="70"/>
      <w:r>
        <w:rPr>
          <w:rFonts w:ascii="Times New Roman" w:hAnsi="Times New Roman"/>
          <w:color w:val="000000"/>
          <w:sz w:val="28"/>
          <w:szCs w:val="28"/>
          <w:lang w:eastAsia="ru-RU"/>
        </w:rPr>
        <w:t>12. Діяльність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фінансується за рахунок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коштів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місцевих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бюджетів та інших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джерел, не заборонених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законодавством.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1" w:name="n95"/>
      <w:bookmarkEnd w:id="71"/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Центр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надає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послуги на безоплатній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основі.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2" w:name="n96"/>
      <w:bookmarkEnd w:id="72"/>
      <w:r>
        <w:rPr>
          <w:rFonts w:ascii="Times New Roman" w:hAnsi="Times New Roman"/>
          <w:color w:val="000000"/>
          <w:sz w:val="28"/>
          <w:szCs w:val="28"/>
          <w:lang w:eastAsia="ru-RU"/>
        </w:rPr>
        <w:t>13. Умови оплати праці, типова структура і штатна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чисельність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Центру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затверджуються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Мінсоцполітики за погодженням з Мінфіном.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shd w:fill="FFFF00" w:val="clear"/>
          <w:lang w:eastAsia="ru-RU"/>
        </w:rPr>
      </w:pPr>
      <w:bookmarkStart w:id="73" w:name="n97"/>
      <w:bookmarkEnd w:id="73"/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/>
        </w:rPr>
        <w:t xml:space="preserve">14. 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 w:val="uk-UA"/>
        </w:rPr>
        <w:t>Центр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/>
        </w:rPr>
        <w:t xml:space="preserve"> є юридичною особою, має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/>
        </w:rPr>
        <w:t xml:space="preserve">самостійний баланс, рахунки в 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 w:val="uk-UA"/>
        </w:rPr>
        <w:t>установах Державної казначейської служби та установах банків, для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 w:val="uk-UA"/>
        </w:rPr>
        <w:t>обслуговування бюджетних коштів у частині бюджету розвитку - в установах банків державного сектору, код ЄДРПОУ, штампи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/>
        </w:rPr>
        <w:t>, печатку та бланк із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/>
        </w:rPr>
        <w:t>своїм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00" w:val="clear"/>
          <w:lang w:eastAsia="ru-RU"/>
        </w:rPr>
        <w:t>найменуванням.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4" w:name="n146"/>
      <w:bookmarkEnd w:id="74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 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>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своїй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забезпечує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дотримання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вимог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hyperlink r:id="rId2">
        <w:r>
          <w:rPr>
            <w:rStyle w:val="style19"/>
            <w:rFonts w:ascii="Times New Roman" w:hAnsi="Times New Roman"/>
            <w:color w:val="000000"/>
            <w:sz w:val="28"/>
            <w:szCs w:val="28"/>
            <w:lang w:eastAsia="ru-RU"/>
          </w:rPr>
          <w:t>Закону України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“Про захист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персональних</w:t>
      </w:r>
      <w:r>
        <w:rPr>
          <w:rFonts w:ascii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даних”.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shd w:fill="FFFF00" w:val="clear"/>
          <w:lang w:val="uk-UA"/>
        </w:rPr>
      </w:pPr>
      <w:bookmarkStart w:id="75" w:name="n145"/>
      <w:bookmarkEnd w:id="75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shd w:fill="FFFF00" w:val="clear"/>
          <w:lang w:val="uk-UA"/>
        </w:rPr>
        <w:t>16.  Припинення центру:</w:t>
      </w:r>
    </w:p>
    <w:p>
      <w:pPr>
        <w:pStyle w:val="style28"/>
        <w:tabs>
          <w:tab w:leader="none" w:pos="1560" w:val="left"/>
        </w:tabs>
        <w:spacing w:after="0" w:before="0" w:line="100" w:lineRule="atLeast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  <w:t xml:space="preserve">          </w:t>
      </w:r>
      <w:r>
        <w:rPr>
          <w:shd w:fill="FFFF00" w:val="clear"/>
          <w:lang w:val="uk-UA"/>
        </w:rPr>
        <w:t>- л</w:t>
      </w:r>
      <w:r>
        <w:rPr>
          <w:shd w:fill="FFFF00" w:val="clear"/>
        </w:rPr>
        <w:t xml:space="preserve">іквідація та реорганізація (виділення, перетворення) </w:t>
      </w:r>
      <w:r>
        <w:rPr>
          <w:shd w:fill="FFFF00" w:val="clear"/>
          <w:lang w:val="uk-UA"/>
        </w:rPr>
        <w:t>Центру</w:t>
      </w:r>
      <w:r>
        <w:rPr>
          <w:shd w:fill="FFFF00" w:val="clear"/>
        </w:rPr>
        <w:t xml:space="preserve"> здійснюється за рішенням </w:t>
      </w:r>
      <w:r>
        <w:rPr>
          <w:shd w:fill="FFFF00" w:val="clear"/>
          <w:lang w:val="uk-UA"/>
        </w:rPr>
        <w:t xml:space="preserve">Мелітопольської </w:t>
      </w:r>
      <w:r>
        <w:rPr>
          <w:shd w:fill="FFFF00" w:val="clear"/>
        </w:rPr>
        <w:t>міської ради, а у випадках, передбачених Законом  за рішенням суду</w:t>
      </w:r>
      <w:r>
        <w:rPr>
          <w:shd w:fill="FFFF00" w:val="clear"/>
          <w:lang w:val="uk-UA"/>
        </w:rPr>
        <w:t>;</w:t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</w:rPr>
      </w:pPr>
      <w:r>
        <w:rPr>
          <w:shd w:fill="FFFF00" w:val="clear"/>
        </w:rPr>
        <w:tab/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  <w:t xml:space="preserve">- у </w:t>
      </w:r>
      <w:r>
        <w:rPr>
          <w:shd w:fill="FFFF00" w:val="clear"/>
        </w:rPr>
        <w:t xml:space="preserve">разі реорганізації </w:t>
      </w:r>
      <w:r>
        <w:rPr>
          <w:shd w:fill="FFFF00" w:val="clear"/>
          <w:lang w:val="uk-UA"/>
        </w:rPr>
        <w:t>Центру</w:t>
      </w:r>
      <w:r>
        <w:rPr>
          <w:shd w:fill="FFFF00" w:val="clear"/>
        </w:rPr>
        <w:t xml:space="preserve"> вся сукупність </w:t>
      </w:r>
      <w:r>
        <w:rPr>
          <w:shd w:fill="FFFF00" w:val="clear"/>
          <w:lang w:val="uk-UA"/>
        </w:rPr>
        <w:t>його</w:t>
      </w:r>
      <w:r>
        <w:rPr>
          <w:shd w:fill="FFFF00" w:val="clear"/>
        </w:rPr>
        <w:t xml:space="preserve"> прав та обов’язків переходить до правонаступників</w:t>
      </w:r>
      <w:r>
        <w:rPr>
          <w:shd w:fill="FFFF00" w:val="clear"/>
          <w:lang w:val="uk-UA"/>
        </w:rPr>
        <w:t>;</w:t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  <w:t>- л</w:t>
      </w:r>
      <w:r>
        <w:rPr>
          <w:shd w:fill="FFFF00" w:val="clear"/>
        </w:rPr>
        <w:t xml:space="preserve">іквідація </w:t>
      </w:r>
      <w:r>
        <w:rPr>
          <w:shd w:fill="FFFF00" w:val="clear"/>
          <w:lang w:val="uk-UA"/>
        </w:rPr>
        <w:t>Центру</w:t>
      </w:r>
      <w:r>
        <w:rPr>
          <w:shd w:fill="FFFF00" w:val="clear"/>
        </w:rPr>
        <w:t xml:space="preserve"> здійснюється ліквідаційною комісією, яка утворюється уповноваженим</w:t>
      </w:r>
      <w:r>
        <w:rPr>
          <w:shd w:fill="FFFF00" w:val="clear"/>
          <w:lang w:val="uk-UA"/>
        </w:rPr>
        <w:t xml:space="preserve"> органом Мелітопольської</w:t>
      </w:r>
      <w:r>
        <w:rPr>
          <w:shd w:fill="FFFF00" w:val="clear"/>
        </w:rPr>
        <w:t xml:space="preserve"> міськ</w:t>
      </w:r>
      <w:r>
        <w:rPr>
          <w:shd w:fill="FFFF00" w:val="clear"/>
          <w:lang w:val="uk-UA"/>
        </w:rPr>
        <w:t>ої</w:t>
      </w:r>
      <w:r>
        <w:rPr>
          <w:shd w:fill="FFFF00" w:val="clear"/>
        </w:rPr>
        <w:t xml:space="preserve"> рад</w:t>
      </w:r>
      <w:r>
        <w:rPr>
          <w:shd w:fill="FFFF00" w:val="clear"/>
          <w:lang w:val="uk-UA"/>
        </w:rPr>
        <w:t>и</w:t>
      </w:r>
      <w:r>
        <w:rPr>
          <w:shd w:fill="FFFF00" w:val="clear"/>
        </w:rPr>
        <w:t xml:space="preserve">. До складу ліквідаційної комісії входять представники </w:t>
      </w:r>
      <w:r>
        <w:rPr>
          <w:shd w:fill="FFFF00" w:val="clear"/>
          <w:lang w:val="uk-UA"/>
        </w:rPr>
        <w:t>Мелітопольської</w:t>
      </w:r>
      <w:r>
        <w:rPr>
          <w:shd w:fill="FFFF00" w:val="clear"/>
        </w:rPr>
        <w:t xml:space="preserve"> міської ради</w:t>
      </w:r>
      <w:r>
        <w:rPr>
          <w:shd w:fill="FFFF00" w:val="clear"/>
          <w:lang w:val="uk-UA"/>
        </w:rPr>
        <w:t xml:space="preserve"> та</w:t>
      </w:r>
      <w:r>
        <w:rPr>
          <w:shd w:fill="FFFF00" w:val="clear"/>
        </w:rPr>
        <w:t xml:space="preserve"> </w:t>
      </w:r>
      <w:r>
        <w:rPr>
          <w:shd w:fill="FFFF00" w:val="clear"/>
          <w:lang w:val="uk-UA"/>
        </w:rPr>
        <w:t>Центру</w:t>
      </w:r>
      <w:r>
        <w:rPr>
          <w:shd w:fill="FFFF00" w:val="clear"/>
        </w:rPr>
        <w:t xml:space="preserve">. Порядок і строки проведення ліквідації, а також строк для заяви претензій кредиторами визначаються </w:t>
      </w:r>
      <w:r>
        <w:rPr>
          <w:shd w:fill="FFFF00" w:val="clear"/>
          <w:lang w:val="uk-UA"/>
        </w:rPr>
        <w:t>Мелітопольської</w:t>
      </w:r>
      <w:r>
        <w:rPr>
          <w:shd w:fill="FFFF00" w:val="clear"/>
        </w:rPr>
        <w:t xml:space="preserve"> міською радою</w:t>
      </w:r>
      <w:r>
        <w:rPr>
          <w:shd w:fill="FFFF00" w:val="clear"/>
          <w:lang w:val="uk-UA"/>
        </w:rPr>
        <w:t>;</w:t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</w:rPr>
      </w:pPr>
      <w:r>
        <w:rPr>
          <w:shd w:fill="FFFF00" w:val="clear"/>
          <w:lang w:val="uk-UA"/>
        </w:rPr>
        <w:t>- з</w:t>
      </w:r>
      <w:r>
        <w:rPr>
          <w:shd w:fill="FFFF00" w:val="clear"/>
        </w:rPr>
        <w:t xml:space="preserve"> моменту призначення ліквідаційної комісії до неї переходять повноваження по управлінню </w:t>
      </w:r>
      <w:r>
        <w:rPr>
          <w:shd w:fill="FFFF00" w:val="clear"/>
          <w:lang w:val="uk-UA"/>
        </w:rPr>
        <w:t>Центром</w:t>
      </w:r>
      <w:r>
        <w:rPr>
          <w:shd w:fill="FFFF00" w:val="clear"/>
        </w:rPr>
        <w:t xml:space="preserve">. Кредитори та інші юридичні особи, які перебувають у договірних відносинах з </w:t>
      </w:r>
      <w:r>
        <w:rPr>
          <w:shd w:fill="FFFF00" w:val="clear"/>
          <w:lang w:val="uk-UA"/>
        </w:rPr>
        <w:t>Центром</w:t>
      </w:r>
      <w:r>
        <w:rPr>
          <w:shd w:fill="FFFF00" w:val="clear"/>
        </w:rPr>
        <w:t>, що ліквідується, повідомляються про його ліквідацію у письмовій формі. Черговість та порядок задоволення вимог кредиторів визначаються відповідно до законодавства</w:t>
      </w:r>
      <w:r>
        <w:rPr>
          <w:shd w:fill="FFFF00" w:val="clear"/>
          <w:lang w:val="uk-UA"/>
        </w:rPr>
        <w:t>;</w:t>
      </w:r>
      <w:r>
        <w:rPr>
          <w:shd w:fill="FFFF00" w:val="clear"/>
        </w:rPr>
        <w:t xml:space="preserve"> </w:t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  <w:t>- п</w:t>
      </w:r>
      <w:r>
        <w:rPr>
          <w:shd w:fill="FFFF00" w:val="clear"/>
        </w:rPr>
        <w:t xml:space="preserve">ри реорганізації чи ліквідації </w:t>
      </w:r>
      <w:r>
        <w:rPr>
          <w:shd w:fill="FFFF00" w:val="clear"/>
          <w:lang w:val="uk-UA"/>
        </w:rPr>
        <w:t>Центру</w:t>
      </w:r>
      <w:r>
        <w:rPr>
          <w:shd w:fill="FFFF00" w:val="clear"/>
        </w:rPr>
        <w:t xml:space="preserve"> працівникам, які звільняються, гарантується додержання їх прав та інтересів відповідно з чинним законодавством України про працю</w:t>
      </w:r>
      <w:r>
        <w:rPr>
          <w:shd w:fill="FFFF00" w:val="clear"/>
          <w:lang w:val="uk-UA"/>
        </w:rPr>
        <w:t>;</w:t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</w:rPr>
      </w:pPr>
      <w:r>
        <w:rPr>
          <w:shd w:fill="FFFF00" w:val="clear"/>
          <w:lang w:val="uk-UA"/>
        </w:rPr>
        <w:t>- Центр</w:t>
      </w:r>
      <w:r>
        <w:rPr>
          <w:shd w:fill="FFFF00" w:val="clear"/>
        </w:rPr>
        <w:t xml:space="preserve"> вважається реорганізован</w:t>
      </w:r>
      <w:r>
        <w:rPr>
          <w:shd w:fill="FFFF00" w:val="clear"/>
          <w:lang w:val="uk-UA"/>
        </w:rPr>
        <w:t>им</w:t>
      </w:r>
      <w:r>
        <w:rPr>
          <w:shd w:fill="FFFF00" w:val="clear"/>
        </w:rPr>
        <w:t xml:space="preserve"> або ліквідован</w:t>
      </w:r>
      <w:r>
        <w:rPr>
          <w:shd w:fill="FFFF00" w:val="clear"/>
          <w:lang w:val="uk-UA"/>
        </w:rPr>
        <w:t>им</w:t>
      </w:r>
      <w:r>
        <w:rPr>
          <w:shd w:fill="FFFF00" w:val="clear"/>
        </w:rPr>
        <w:t xml:space="preserve"> з моменту внесення відповідного запису до Єдиного державного реєстру юридичних осіб</w:t>
      </w:r>
      <w:r>
        <w:rPr>
          <w:shd w:fill="FFFF00" w:val="clear"/>
          <w:lang w:val="uk-UA"/>
        </w:rPr>
        <w:t xml:space="preserve">, </w:t>
      </w:r>
      <w:r>
        <w:rPr>
          <w:shd w:fill="FFFF00" w:val="clear"/>
        </w:rPr>
        <w:t>фізичних осіб-підприємців</w:t>
      </w:r>
      <w:r>
        <w:rPr>
          <w:shd w:fill="FFFF00" w:val="clear"/>
          <w:lang w:val="uk-UA"/>
        </w:rPr>
        <w:t xml:space="preserve"> та громадських формувань;</w:t>
      </w:r>
      <w:r>
        <w:rPr>
          <w:shd w:fill="FFFF00" w:val="clear"/>
        </w:rPr>
        <w:t xml:space="preserve"> </w:t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  <w:lang w:val="uk-UA"/>
        </w:rPr>
      </w:pPr>
      <w:r>
        <w:rPr>
          <w:shd w:fill="FFFF00" w:val="clear"/>
          <w:lang w:val="uk-UA"/>
        </w:rPr>
      </w:r>
    </w:p>
    <w:p>
      <w:pPr>
        <w:pStyle w:val="style28"/>
        <w:tabs>
          <w:tab w:leader="none" w:pos="1560" w:val="left"/>
        </w:tabs>
        <w:spacing w:after="0" w:before="0" w:line="100" w:lineRule="atLeast"/>
        <w:ind w:firstLine="709" w:left="0" w:right="0"/>
        <w:contextualSpacing w:val="false"/>
        <w:jc w:val="both"/>
        <w:rPr>
          <w:shd w:fill="FFFF00" w:val="clear"/>
        </w:rPr>
      </w:pPr>
      <w:r>
        <w:rPr>
          <w:shd w:fill="FFFF00" w:val="clear"/>
          <w:lang w:val="uk-UA"/>
        </w:rPr>
        <w:t>- у</w:t>
      </w:r>
      <w:r>
        <w:rPr>
          <w:shd w:fill="FFFF00" w:val="clear"/>
        </w:rPr>
        <w:t xml:space="preserve"> разі ліквідації </w:t>
      </w:r>
      <w:r>
        <w:rPr>
          <w:shd w:fill="FFFF00" w:val="clear"/>
          <w:lang w:val="uk-UA"/>
        </w:rPr>
        <w:t>Центру</w:t>
      </w:r>
      <w:r>
        <w:rPr>
          <w:shd w:fill="FFFF00" w:val="clear"/>
        </w:rPr>
        <w:t xml:space="preserve"> </w:t>
      </w:r>
      <w:r>
        <w:rPr>
          <w:shd w:fill="FFFF00" w:val="clear"/>
          <w:lang w:val="uk-UA"/>
        </w:rPr>
        <w:t>його</w:t>
      </w:r>
      <w:r>
        <w:rPr>
          <w:shd w:fill="FFFF00" w:val="clear"/>
        </w:rPr>
        <w:t xml:space="preserve"> активи, майно будуть передані іншій неприбутковій організації відповідного виду, або зараховано до доходу бюджету.</w:t>
      </w:r>
    </w:p>
    <w:p>
      <w:pPr>
        <w:pStyle w:val="style0"/>
        <w:spacing w:after="200" w:before="0" w:line="100" w:lineRule="atLeast"/>
        <w:ind w:firstLine="708" w:left="0" w:right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HTML Preformatted Char"/>
    <w:basedOn w:val="style15"/>
    <w:next w:val="style16"/>
    <w:rPr>
      <w:rFonts w:ascii="Courier New" w:cs="Courier New" w:hAnsi="Courier New"/>
      <w:color w:val="000000"/>
      <w:sz w:val="21"/>
      <w:szCs w:val="21"/>
      <w:lang w:eastAsia="ru-RU"/>
    </w:rPr>
  </w:style>
  <w:style w:styleId="style17" w:type="character">
    <w:name w:val="Balloon Text Char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Основной текст_"/>
    <w:basedOn w:val="style15"/>
    <w:next w:val="style18"/>
    <w:rPr>
      <w:rFonts w:cs="Times New Roman"/>
      <w:sz w:val="28"/>
      <w:szCs w:val="28"/>
      <w:shd w:fill="FFFFFF" w:val="clear"/>
      <w:lang w:bidi="ar-SA"/>
    </w:rPr>
  </w:style>
  <w:style w:styleId="style19" w:type="character">
    <w:name w:val="Интернет-ссылка"/>
    <w:next w:val="style19"/>
    <w:rPr>
      <w:color w:val="000080"/>
      <w:u w:val="single"/>
      <w:lang w:bidi="zxx-" w:eastAsia="zxx-" w:val="zxx-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FreeSans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FreeSans"/>
    </w:rPr>
  </w:style>
  <w:style w:styleId="style25" w:type="paragraph">
    <w:name w:val="HTML Preformatted"/>
    <w:basedOn w:val="style0"/>
    <w:next w:val="style25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000000"/>
      <w:sz w:val="21"/>
      <w:szCs w:val="21"/>
      <w:lang w:eastAsia="ru-RU"/>
    </w:rPr>
  </w:style>
  <w:style w:styleId="style26" w:type="paragraph">
    <w:name w:val="No Spacing"/>
    <w:next w:val="style26"/>
    <w:pPr>
      <w:widowControl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8" w:type="paragraph">
    <w:name w:val="Основной текст1"/>
    <w:basedOn w:val="style0"/>
    <w:next w:val="style28"/>
    <w:pPr>
      <w:shd w:fill="FFFFFF" w:val="clear"/>
      <w:spacing w:after="2160" w:before="0" w:line="317" w:lineRule="exact"/>
      <w:contextualSpacing w:val="false"/>
    </w:pPr>
    <w:rPr>
      <w:rFonts w:ascii="Times New Roman" w:hAnsi="Times New Roman"/>
      <w:sz w:val="28"/>
      <w:szCs w:val="28"/>
      <w:shd w:fill="FFFFFF" w:val="clear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4.rada.gov.ua/laws/show/2297-1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834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2015-08-19T08:11:00Z</dcterms:created>
  <dc:creator>MACUSER7</dc:creator>
  <cp:lastModifiedBy>Admin</cp:lastModifiedBy>
  <cp:lastPrinted>2017-05-11T13:30:00Z</cp:lastPrinted>
  <dcterms:modified xsi:type="dcterms:W3CDTF">2017-05-23T08:18:00Z</dcterms:modified>
  <cp:revision>42</cp:revision>
</cp:coreProperties>
</file>